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28D8" w14:textId="77777777" w:rsidR="001F701D" w:rsidRPr="001F701D" w:rsidRDefault="001F701D" w:rsidP="001F701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8000"/>
          <w:sz w:val="72"/>
          <w:szCs w:val="72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1F701D">
            <w:rPr>
              <w:rFonts w:ascii="Arial" w:eastAsia="Calibri" w:hAnsi="Arial" w:cs="Arial"/>
              <w:b/>
              <w:bCs/>
              <w:color w:val="008000"/>
              <w:sz w:val="72"/>
              <w:szCs w:val="72"/>
              <w:lang w:val="en-GB"/>
            </w:rPr>
            <w:t>Rainow</w:t>
          </w:r>
        </w:smartTag>
        <w:r w:rsidRPr="001F701D">
          <w:rPr>
            <w:rFonts w:ascii="Arial" w:eastAsia="Calibri" w:hAnsi="Arial" w:cs="Arial"/>
            <w:b/>
            <w:bCs/>
            <w:color w:val="008000"/>
            <w:sz w:val="72"/>
            <w:szCs w:val="72"/>
            <w:lang w:val="en-GB"/>
          </w:rPr>
          <w:t xml:space="preserve"> </w:t>
        </w:r>
        <w:smartTag w:uri="urn:schemas-microsoft-com:office:smarttags" w:element="PlaceType">
          <w:r w:rsidRPr="001F701D">
            <w:rPr>
              <w:rFonts w:ascii="Arial" w:eastAsia="Calibri" w:hAnsi="Arial" w:cs="Arial"/>
              <w:b/>
              <w:bCs/>
              <w:color w:val="008000"/>
              <w:sz w:val="72"/>
              <w:szCs w:val="72"/>
              <w:lang w:val="en-GB"/>
            </w:rPr>
            <w:t>Primary School</w:t>
          </w:r>
        </w:smartTag>
      </w:smartTag>
    </w:p>
    <w:p w14:paraId="3B398A5C" w14:textId="77777777" w:rsidR="001A329A" w:rsidRDefault="001F701D" w:rsidP="001A329A">
      <w:pPr>
        <w:spacing w:line="276" w:lineRule="auto"/>
        <w:jc w:val="center"/>
        <w:rPr>
          <w:rFonts w:ascii="Arial" w:eastAsia="Calibri" w:hAnsi="Arial" w:cs="Arial"/>
          <w:b/>
          <w:i/>
          <w:sz w:val="32"/>
          <w:szCs w:val="32"/>
          <w:lang w:val="en-GB"/>
        </w:rPr>
      </w:pPr>
      <w:r w:rsidRPr="001F701D">
        <w:rPr>
          <w:rFonts w:ascii="Arial" w:eastAsia="Calibri" w:hAnsi="Arial" w:cs="Arial"/>
          <w:b/>
          <w:bCs/>
          <w:i/>
          <w:color w:val="008000"/>
          <w:sz w:val="32"/>
          <w:szCs w:val="32"/>
          <w:lang w:val="en-GB"/>
        </w:rPr>
        <w:t>Caring, Learning, Achieving.</w:t>
      </w:r>
      <w:r w:rsidR="001A329A">
        <w:rPr>
          <w:rFonts w:ascii="Arial" w:eastAsia="Calibri" w:hAnsi="Arial" w:cs="Arial"/>
          <w:b/>
          <w:i/>
          <w:sz w:val="32"/>
          <w:szCs w:val="32"/>
          <w:lang w:val="en-GB"/>
        </w:rPr>
        <w:t xml:space="preserve"> </w:t>
      </w:r>
    </w:p>
    <w:p w14:paraId="297DC57D" w14:textId="77777777" w:rsidR="001A329A" w:rsidRDefault="001A329A" w:rsidP="001A329A">
      <w:pPr>
        <w:spacing w:line="276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590E0C9F" w14:textId="77777777" w:rsidR="00EB1886" w:rsidRPr="001A329A" w:rsidRDefault="00EB1886" w:rsidP="001A329A">
      <w:pPr>
        <w:spacing w:line="276" w:lineRule="auto"/>
        <w:jc w:val="center"/>
        <w:rPr>
          <w:rFonts w:ascii="Arial" w:eastAsia="Calibri" w:hAnsi="Arial" w:cs="Arial"/>
          <w:b/>
          <w:i/>
          <w:sz w:val="32"/>
          <w:szCs w:val="32"/>
          <w:lang w:val="en-GB"/>
        </w:rPr>
      </w:pPr>
      <w:r w:rsidRPr="001F701D">
        <w:rPr>
          <w:rFonts w:ascii="Arial" w:hAnsi="Arial" w:cs="Arial"/>
          <w:b/>
          <w:sz w:val="28"/>
          <w:szCs w:val="28"/>
          <w:lang w:val="cy-GB"/>
        </w:rPr>
        <w:t>TERMS OF REFERENCE FOR THE</w:t>
      </w:r>
      <w:r w:rsidR="001A329A">
        <w:rPr>
          <w:rFonts w:ascii="Arial" w:eastAsia="Calibri" w:hAnsi="Arial" w:cs="Arial"/>
          <w:b/>
          <w:i/>
          <w:sz w:val="32"/>
          <w:szCs w:val="32"/>
          <w:lang w:val="en-GB"/>
        </w:rPr>
        <w:t xml:space="preserve"> </w:t>
      </w:r>
      <w:r w:rsidR="000A47E3">
        <w:rPr>
          <w:rFonts w:ascii="Arial" w:hAnsi="Arial" w:cs="Arial"/>
          <w:b/>
          <w:sz w:val="28"/>
          <w:szCs w:val="28"/>
          <w:lang w:val="cy-GB"/>
        </w:rPr>
        <w:t xml:space="preserve">TEACHING AND LEARNING </w:t>
      </w:r>
      <w:r w:rsidRPr="001F701D">
        <w:rPr>
          <w:rFonts w:ascii="Arial" w:hAnsi="Arial" w:cs="Arial"/>
          <w:b/>
          <w:sz w:val="28"/>
          <w:szCs w:val="28"/>
          <w:lang w:val="cy-GB"/>
        </w:rPr>
        <w:t xml:space="preserve">COMMITTEE </w:t>
      </w:r>
      <w:r w:rsidRPr="001A329A">
        <w:rPr>
          <w:rFonts w:ascii="Arial" w:hAnsi="Arial" w:cs="Arial"/>
          <w:b/>
          <w:sz w:val="28"/>
          <w:szCs w:val="28"/>
          <w:lang w:val="cy-GB"/>
        </w:rPr>
        <w:t>OF</w:t>
      </w:r>
      <w:r w:rsidR="001A329A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="001F701D" w:rsidRPr="001A329A">
        <w:rPr>
          <w:rFonts w:ascii="Arial" w:hAnsi="Arial" w:cs="Arial"/>
          <w:b/>
          <w:sz w:val="28"/>
          <w:szCs w:val="28"/>
        </w:rPr>
        <w:t xml:space="preserve">THE </w:t>
      </w:r>
      <w:r w:rsidRPr="001A329A">
        <w:rPr>
          <w:rFonts w:ascii="Arial" w:hAnsi="Arial" w:cs="Arial"/>
          <w:b/>
          <w:sz w:val="28"/>
          <w:szCs w:val="28"/>
        </w:rPr>
        <w:t>GOVERNING BODY</w:t>
      </w:r>
    </w:p>
    <w:p w14:paraId="0B072328" w14:textId="77777777" w:rsidR="00EB1886" w:rsidRDefault="00EB1886">
      <w:pPr>
        <w:rPr>
          <w:b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6331"/>
      </w:tblGrid>
      <w:tr w:rsidR="002A241B" w:rsidRPr="002A241B" w14:paraId="568B49A2" w14:textId="77777777" w:rsidTr="00AF3BA5">
        <w:tc>
          <w:tcPr>
            <w:tcW w:w="2299" w:type="dxa"/>
            <w:tcBorders>
              <w:bottom w:val="single" w:sz="4" w:space="0" w:color="auto"/>
            </w:tcBorders>
          </w:tcPr>
          <w:p w14:paraId="7D32A1D0" w14:textId="77777777" w:rsidR="002A241B" w:rsidRPr="002A241B" w:rsidRDefault="002A241B" w:rsidP="008147C2">
            <w:pPr>
              <w:pStyle w:val="Boldemphasis"/>
              <w:spacing w:after="0"/>
              <w:rPr>
                <w:rFonts w:eastAsia="Times New Roman"/>
              </w:rPr>
            </w:pPr>
            <w:r w:rsidRPr="002A241B">
              <w:rPr>
                <w:rFonts w:eastAsia="Times New Roman"/>
              </w:rPr>
              <w:t>Date agreed:</w:t>
            </w:r>
          </w:p>
        </w:tc>
        <w:tc>
          <w:tcPr>
            <w:tcW w:w="6331" w:type="dxa"/>
            <w:tcBorders>
              <w:bottom w:val="single" w:sz="4" w:space="0" w:color="auto"/>
            </w:tcBorders>
          </w:tcPr>
          <w:p w14:paraId="1A76B1AF" w14:textId="2CBA415E" w:rsidR="002A241B" w:rsidRPr="00974985" w:rsidRDefault="00974985" w:rsidP="008147C2">
            <w:pPr>
              <w:pStyle w:val="MainText"/>
              <w:rPr>
                <w:rFonts w:eastAsia="Times New Roman" w:cs="Times New Roman"/>
                <w:bCs/>
                <w:i/>
              </w:rPr>
            </w:pPr>
            <w:r w:rsidRPr="00974985">
              <w:rPr>
                <w:rFonts w:eastAsia="Times New Roman" w:cs="Times New Roman"/>
                <w:bCs/>
                <w:i/>
              </w:rPr>
              <w:t>Autumn 202</w:t>
            </w:r>
            <w:r w:rsidR="00C77BA3">
              <w:rPr>
                <w:rFonts w:eastAsia="Times New Roman" w:cs="Times New Roman"/>
                <w:bCs/>
                <w:i/>
              </w:rPr>
              <w:t>4</w:t>
            </w:r>
          </w:p>
        </w:tc>
      </w:tr>
      <w:tr w:rsidR="002A241B" w:rsidRPr="002A241B" w14:paraId="6EF7B007" w14:textId="77777777" w:rsidTr="00AF3BA5">
        <w:tc>
          <w:tcPr>
            <w:tcW w:w="2299" w:type="dxa"/>
            <w:tcBorders>
              <w:bottom w:val="single" w:sz="4" w:space="0" w:color="auto"/>
            </w:tcBorders>
          </w:tcPr>
          <w:p w14:paraId="3894BB7F" w14:textId="77777777" w:rsidR="002A241B" w:rsidRPr="002A241B" w:rsidRDefault="002A241B" w:rsidP="008147C2">
            <w:pPr>
              <w:pStyle w:val="Boldemphasis"/>
              <w:spacing w:after="0"/>
              <w:rPr>
                <w:rFonts w:eastAsia="Times New Roman"/>
              </w:rPr>
            </w:pPr>
            <w:r w:rsidRPr="002A241B">
              <w:rPr>
                <w:rFonts w:eastAsia="Times New Roman"/>
              </w:rPr>
              <w:t>Review date:</w:t>
            </w:r>
          </w:p>
        </w:tc>
        <w:tc>
          <w:tcPr>
            <w:tcW w:w="6331" w:type="dxa"/>
            <w:tcBorders>
              <w:bottom w:val="single" w:sz="4" w:space="0" w:color="auto"/>
            </w:tcBorders>
          </w:tcPr>
          <w:p w14:paraId="3CE9C357" w14:textId="0E4BAA27" w:rsidR="002A241B" w:rsidRPr="002A241B" w:rsidRDefault="001344FA" w:rsidP="008147C2">
            <w:pPr>
              <w:pStyle w:val="MainText"/>
              <w:spacing w:after="40"/>
              <w:rPr>
                <w:rFonts w:eastAsia="Times New Roman" w:cs="Times New Roman"/>
                <w:bCs/>
                <w:i/>
                <w:iCs/>
              </w:rPr>
            </w:pPr>
            <w:r>
              <w:rPr>
                <w:rFonts w:eastAsia="Times New Roman" w:cs="Times New Roman"/>
                <w:bCs/>
                <w:i/>
                <w:iCs/>
              </w:rPr>
              <w:t>Autumn 202</w:t>
            </w:r>
            <w:r w:rsidR="00C77BA3">
              <w:rPr>
                <w:rFonts w:eastAsia="Times New Roman" w:cs="Times New Roman"/>
                <w:bCs/>
                <w:i/>
                <w:iCs/>
              </w:rPr>
              <w:t>5</w:t>
            </w:r>
          </w:p>
        </w:tc>
      </w:tr>
      <w:tr w:rsidR="002A241B" w:rsidRPr="002A241B" w14:paraId="31175F47" w14:textId="77777777" w:rsidTr="00AF3BA5">
        <w:trPr>
          <w:trHeight w:val="50"/>
        </w:trPr>
        <w:tc>
          <w:tcPr>
            <w:tcW w:w="2299" w:type="dxa"/>
            <w:tcBorders>
              <w:top w:val="single" w:sz="4" w:space="0" w:color="auto"/>
            </w:tcBorders>
          </w:tcPr>
          <w:p w14:paraId="70C8DD5E" w14:textId="77777777" w:rsidR="002A241B" w:rsidRPr="002A241B" w:rsidRDefault="002A241B" w:rsidP="008147C2">
            <w:pPr>
              <w:pStyle w:val="Boldemphasis"/>
              <w:spacing w:after="0"/>
              <w:rPr>
                <w:rFonts w:eastAsia="Times New Roman"/>
              </w:rPr>
            </w:pPr>
            <w:r w:rsidRPr="002A241B">
              <w:rPr>
                <w:rFonts w:eastAsia="Times New Roman"/>
              </w:rPr>
              <w:t>Chair of committee:</w:t>
            </w:r>
          </w:p>
        </w:tc>
        <w:tc>
          <w:tcPr>
            <w:tcW w:w="6331" w:type="dxa"/>
            <w:tcBorders>
              <w:top w:val="single" w:sz="4" w:space="0" w:color="auto"/>
            </w:tcBorders>
          </w:tcPr>
          <w:p w14:paraId="64E144C0" w14:textId="583E42DC" w:rsidR="002A241B" w:rsidRPr="002A241B" w:rsidRDefault="001344FA" w:rsidP="008147C2">
            <w:pPr>
              <w:pStyle w:val="MainTex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Peter Grogan</w:t>
            </w:r>
          </w:p>
        </w:tc>
      </w:tr>
      <w:tr w:rsidR="002A241B" w:rsidRPr="002A241B" w14:paraId="00E5B52F" w14:textId="77777777" w:rsidTr="00AF3BA5">
        <w:tc>
          <w:tcPr>
            <w:tcW w:w="2299" w:type="dxa"/>
          </w:tcPr>
          <w:p w14:paraId="68AF055A" w14:textId="77777777" w:rsidR="002A241B" w:rsidRPr="002A241B" w:rsidRDefault="002A241B" w:rsidP="008147C2">
            <w:pPr>
              <w:pStyle w:val="Boldemphasis"/>
              <w:spacing w:after="0"/>
              <w:rPr>
                <w:rFonts w:eastAsia="Times New Roman"/>
              </w:rPr>
            </w:pPr>
            <w:r w:rsidRPr="002A241B">
              <w:rPr>
                <w:rFonts w:eastAsia="Times New Roman"/>
              </w:rPr>
              <w:t>Clerk:</w:t>
            </w:r>
          </w:p>
        </w:tc>
        <w:tc>
          <w:tcPr>
            <w:tcW w:w="6331" w:type="dxa"/>
          </w:tcPr>
          <w:p w14:paraId="1D6D3061" w14:textId="0C88B3BD" w:rsidR="002A241B" w:rsidRPr="002A241B" w:rsidRDefault="004C5A36" w:rsidP="008147C2">
            <w:pPr>
              <w:pStyle w:val="MainText"/>
              <w:spacing w:afterLines="40" w:after="96"/>
              <w:rPr>
                <w:rFonts w:eastAsia="Times New Roman" w:cs="Times New Roman"/>
                <w:bCs/>
                <w:i/>
                <w:iCs/>
              </w:rPr>
            </w:pPr>
            <w:r>
              <w:rPr>
                <w:rFonts w:eastAsia="Times New Roman" w:cs="Times New Roman"/>
                <w:bCs/>
                <w:i/>
                <w:iCs/>
              </w:rPr>
              <w:t>To be provided by the LA School Governance &amp; Liaison Team</w:t>
            </w:r>
          </w:p>
        </w:tc>
      </w:tr>
      <w:tr w:rsidR="002A241B" w:rsidRPr="003928CF" w14:paraId="3336B3A4" w14:textId="77777777" w:rsidTr="00AF3BA5">
        <w:tc>
          <w:tcPr>
            <w:tcW w:w="2299" w:type="dxa"/>
          </w:tcPr>
          <w:p w14:paraId="4D6C3DFB" w14:textId="77777777" w:rsidR="002A241B" w:rsidRPr="002A241B" w:rsidRDefault="002A241B" w:rsidP="008147C2">
            <w:pPr>
              <w:pStyle w:val="Boldemphasis"/>
              <w:spacing w:after="0"/>
              <w:rPr>
                <w:rFonts w:eastAsia="Times New Roman"/>
              </w:rPr>
            </w:pPr>
            <w:r w:rsidRPr="002A241B">
              <w:rPr>
                <w:rFonts w:eastAsia="Times New Roman"/>
              </w:rPr>
              <w:t>Quorum:</w:t>
            </w:r>
          </w:p>
        </w:tc>
        <w:tc>
          <w:tcPr>
            <w:tcW w:w="6331" w:type="dxa"/>
          </w:tcPr>
          <w:p w14:paraId="4C92B501" w14:textId="33E27042" w:rsidR="002A241B" w:rsidRPr="003928CF" w:rsidRDefault="002A241B" w:rsidP="008147C2">
            <w:pPr>
              <w:pStyle w:val="MainText"/>
              <w:spacing w:afterLines="40" w:after="96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3928CF">
              <w:rPr>
                <w:i/>
                <w:iCs/>
              </w:rPr>
              <w:t xml:space="preserve">t least </w:t>
            </w:r>
            <w:r>
              <w:rPr>
                <w:i/>
                <w:iCs/>
              </w:rPr>
              <w:t>three</w:t>
            </w:r>
            <w:r w:rsidRPr="003928CF">
              <w:rPr>
                <w:i/>
                <w:iCs/>
              </w:rPr>
              <w:t xml:space="preserve"> governors who are members of the committee</w:t>
            </w:r>
            <w:r w:rsidR="00636341">
              <w:rPr>
                <w:i/>
                <w:iCs/>
              </w:rPr>
              <w:t>,</w:t>
            </w:r>
            <w:r w:rsidR="0052662A">
              <w:rPr>
                <w:i/>
                <w:iCs/>
              </w:rPr>
              <w:t xml:space="preserve"> </w:t>
            </w:r>
            <w:r w:rsidR="00636341">
              <w:rPr>
                <w:i/>
                <w:iCs/>
              </w:rPr>
              <w:t>of</w:t>
            </w:r>
            <w:r w:rsidR="0052662A">
              <w:rPr>
                <w:i/>
                <w:iCs/>
              </w:rPr>
              <w:t xml:space="preserve"> which at least two </w:t>
            </w:r>
            <w:r w:rsidR="00636341">
              <w:rPr>
                <w:i/>
                <w:iCs/>
              </w:rPr>
              <w:t>are not employed by the school</w:t>
            </w:r>
            <w:r w:rsidRPr="003928C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</w:tc>
      </w:tr>
      <w:tr w:rsidR="002A241B" w:rsidRPr="003928CF" w14:paraId="7616ECE9" w14:textId="77777777" w:rsidTr="00AF3BA5">
        <w:tc>
          <w:tcPr>
            <w:tcW w:w="2299" w:type="dxa"/>
          </w:tcPr>
          <w:p w14:paraId="549670F8" w14:textId="77777777" w:rsidR="002A241B" w:rsidRPr="002A241B" w:rsidRDefault="002A241B" w:rsidP="008147C2">
            <w:pPr>
              <w:pStyle w:val="Boldemphasis"/>
              <w:spacing w:after="0"/>
              <w:rPr>
                <w:rFonts w:eastAsia="Times New Roman"/>
              </w:rPr>
            </w:pPr>
            <w:r w:rsidRPr="002A241B">
              <w:rPr>
                <w:rFonts w:eastAsia="Times New Roman"/>
              </w:rPr>
              <w:t>Meetings:</w:t>
            </w:r>
          </w:p>
        </w:tc>
        <w:tc>
          <w:tcPr>
            <w:tcW w:w="6331" w:type="dxa"/>
          </w:tcPr>
          <w:p w14:paraId="2A78C47E" w14:textId="71D700D2" w:rsidR="002A241B" w:rsidRPr="003928CF" w:rsidRDefault="00125475" w:rsidP="008147C2">
            <w:pPr>
              <w:pStyle w:val="MainText"/>
              <w:spacing w:afterLines="40" w:after="96"/>
              <w:rPr>
                <w:i/>
                <w:iCs/>
              </w:rPr>
            </w:pPr>
            <w:r>
              <w:rPr>
                <w:i/>
                <w:iCs/>
              </w:rPr>
              <w:t>Once per term</w:t>
            </w:r>
          </w:p>
        </w:tc>
      </w:tr>
    </w:tbl>
    <w:p w14:paraId="631B576E" w14:textId="77777777" w:rsidR="002A241B" w:rsidRDefault="002A241B">
      <w:pPr>
        <w:rPr>
          <w:b/>
          <w:lang w:val="cy-GB"/>
        </w:rPr>
      </w:pPr>
    </w:p>
    <w:p w14:paraId="42643702" w14:textId="40F7D16A" w:rsidR="00725B9E" w:rsidRPr="006B387A" w:rsidRDefault="00725B9E" w:rsidP="00725B9E">
      <w:pPr>
        <w:pStyle w:val="Boldemphasis"/>
        <w:spacing w:before="240" w:after="40"/>
        <w:rPr>
          <w:b/>
          <w:sz w:val="28"/>
          <w:szCs w:val="22"/>
        </w:rPr>
      </w:pPr>
      <w:r w:rsidRPr="006B387A">
        <w:rPr>
          <w:b/>
          <w:sz w:val="28"/>
          <w:szCs w:val="22"/>
        </w:rPr>
        <w:t>The Teaching and Learning committee has delegated responsibility to:</w:t>
      </w:r>
    </w:p>
    <w:p w14:paraId="199F1821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5" w:hanging="425"/>
      </w:pPr>
      <w:r>
        <w:t xml:space="preserve">review the curriculum offer, ensuring that </w:t>
      </w:r>
      <w:hyperlink r:id="rId8" w:history="1">
        <w:r w:rsidRPr="008D3787">
          <w:rPr>
            <w:rStyle w:val="Hyperlink"/>
          </w:rPr>
          <w:t>statutory requirements</w:t>
        </w:r>
      </w:hyperlink>
      <w:r>
        <w:t xml:space="preserve"> are met</w:t>
      </w:r>
    </w:p>
    <w:p w14:paraId="076D59A5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ensure that the curriculum offer reflects the school’s values</w:t>
      </w:r>
    </w:p>
    <w:p w14:paraId="0914D680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e</w:t>
      </w:r>
      <w:r w:rsidRPr="004429DD">
        <w:t>nsure</w:t>
      </w:r>
      <w:r>
        <w:t xml:space="preserve"> that</w:t>
      </w:r>
      <w:r w:rsidRPr="00917A4B">
        <w:t xml:space="preserve"> the curriculum meet</w:t>
      </w:r>
      <w:r>
        <w:t>s</w:t>
      </w:r>
      <w:r w:rsidRPr="00917A4B">
        <w:t xml:space="preserve"> the needs of </w:t>
      </w:r>
      <w:r w:rsidRPr="000B3678">
        <w:rPr>
          <w:rStyle w:val="BoldemphasisChar"/>
        </w:rPr>
        <w:t>all</w:t>
      </w:r>
      <w:r w:rsidRPr="006117AD">
        <w:rPr>
          <w:b/>
          <w:bCs/>
        </w:rPr>
        <w:t xml:space="preserve"> </w:t>
      </w:r>
      <w:r w:rsidRPr="00917A4B">
        <w:t xml:space="preserve">pupils regardless of ability, age, sex or </w:t>
      </w:r>
      <w:r w:rsidRPr="00D35F8C">
        <w:t>ethnicity</w:t>
      </w:r>
      <w:r w:rsidRPr="00917A4B">
        <w:t>. </w:t>
      </w:r>
      <w:r>
        <w:t xml:space="preserve"> </w:t>
      </w:r>
    </w:p>
    <w:p w14:paraId="7F75B1E1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e</w:t>
      </w:r>
      <w:r w:rsidRPr="00961890">
        <w:t xml:space="preserve">nsure that the requirements of </w:t>
      </w:r>
      <w:r>
        <w:t>pupils</w:t>
      </w:r>
      <w:r w:rsidRPr="00961890">
        <w:t xml:space="preserve"> with special</w:t>
      </w:r>
      <w:r>
        <w:t xml:space="preserve"> educational </w:t>
      </w:r>
      <w:r w:rsidRPr="00961890">
        <w:t xml:space="preserve">needs </w:t>
      </w:r>
      <w:r>
        <w:t xml:space="preserve">and disabilities (SEND) </w:t>
      </w:r>
      <w:r w:rsidRPr="00961890">
        <w:t>are met, as laid out in the Code of Practice</w:t>
      </w:r>
      <w:r>
        <w:t>.</w:t>
      </w:r>
    </w:p>
    <w:p w14:paraId="61360C95" w14:textId="77777777" w:rsidR="00725B9E" w:rsidRPr="00725B9E" w:rsidRDefault="00725B9E" w:rsidP="007A6107">
      <w:pPr>
        <w:pStyle w:val="MainText"/>
        <w:numPr>
          <w:ilvl w:val="0"/>
          <w:numId w:val="6"/>
        </w:numPr>
        <w:spacing w:before="80" w:after="120"/>
        <w:ind w:left="426" w:hanging="426"/>
      </w:pPr>
      <w:r w:rsidRPr="00725B9E">
        <w:t>ensure</w:t>
      </w:r>
      <w:r>
        <w:t xml:space="preserve"> that the curriculum provides opportunities for pupils to become physically and emotionally confident in a way which supports their health, wellbeing and fitness.</w:t>
      </w:r>
    </w:p>
    <w:p w14:paraId="718D961B" w14:textId="77777777" w:rsidR="00725B9E" w:rsidRPr="004D21A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  <w:rPr>
          <w:i/>
          <w:iCs/>
        </w:rPr>
      </w:pPr>
      <w:r>
        <w:t xml:space="preserve">ensure that </w:t>
      </w:r>
      <w:hyperlink r:id="rId9" w:anchor="curriculum" w:history="1">
        <w:r w:rsidRPr="00774DE2">
          <w:rPr>
            <w:rStyle w:val="Hyperlink"/>
          </w:rPr>
          <w:t>required information</w:t>
        </w:r>
      </w:hyperlink>
      <w:r>
        <w:t xml:space="preserve"> relating to the school’s curriculum is published on the school’s website</w:t>
      </w:r>
    </w:p>
    <w:p w14:paraId="5FC46BD0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m</w:t>
      </w:r>
      <w:r w:rsidRPr="00CB27A9">
        <w:t xml:space="preserve">onitor and evaluate the results of pupil’s learning in terms of progress and attainment and how well pupils perform in </w:t>
      </w:r>
      <w:r>
        <w:t>internal and external</w:t>
      </w:r>
      <w:r w:rsidRPr="00CB27A9">
        <w:t xml:space="preserve"> assessments</w:t>
      </w:r>
      <w:r>
        <w:t>.</w:t>
      </w:r>
    </w:p>
    <w:p w14:paraId="0D68FAE2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evaluate the impact of the curriculum in terms of pupils’ preparedness for the next stage of their education.</w:t>
      </w:r>
    </w:p>
    <w:p w14:paraId="0F6D6E4C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monitor and review the progress and attainment of specific groups of pupils including those in receipt of pupil premium funding, pupils with SEND and all other vulnerable pupils.</w:t>
      </w:r>
    </w:p>
    <w:p w14:paraId="742D03F1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lastRenderedPageBreak/>
        <w:t>m</w:t>
      </w:r>
      <w:r w:rsidRPr="00E36CC6">
        <w:t>onitor and evaluate the impact of continuing professional development on the quality of teaching</w:t>
      </w:r>
      <w:r>
        <w:t>.</w:t>
      </w:r>
      <w:r w:rsidRPr="00E36CC6">
        <w:t xml:space="preserve"> </w:t>
      </w:r>
    </w:p>
    <w:p w14:paraId="7DFD2670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review and approve role descriptions for teaching staff before recruitment commences.</w:t>
      </w:r>
    </w:p>
    <w:p w14:paraId="73B89A7C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as a pool of governors support teaching staff recruitment.</w:t>
      </w:r>
    </w:p>
    <w:p w14:paraId="0C0B745F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committee may co-opt members where specialist expertise is deemed necessary.</w:t>
      </w:r>
    </w:p>
    <w:p w14:paraId="2E7C1497" w14:textId="77777777" w:rsidR="00725B9E" w:rsidRPr="00F47D0A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  <w:rPr>
          <w:i/>
          <w:iCs/>
        </w:rPr>
      </w:pPr>
      <w:r>
        <w:t>a</w:t>
      </w:r>
      <w:r w:rsidRPr="0047116E">
        <w:t xml:space="preserve">dvise the </w:t>
      </w:r>
      <w:r w:rsidRPr="005E4ACB">
        <w:t>finance committee</w:t>
      </w:r>
      <w:r w:rsidRPr="0047116E">
        <w:t xml:space="preserve"> on the funding priorities necessary to deliver the curriculum</w:t>
      </w:r>
      <w:r>
        <w:t>.</w:t>
      </w:r>
      <w:r w:rsidRPr="0047116E">
        <w:t xml:space="preserve"> </w:t>
      </w:r>
    </w:p>
    <w:p w14:paraId="692EA18C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c</w:t>
      </w:r>
      <w:r w:rsidRPr="002376AB">
        <w:t>onsider</w:t>
      </w:r>
      <w:r>
        <w:t xml:space="preserve"> </w:t>
      </w:r>
      <w:r w:rsidRPr="002376AB">
        <w:t xml:space="preserve">recommendations </w:t>
      </w:r>
      <w:r>
        <w:t xml:space="preserve">relating to teaching and learning </w:t>
      </w:r>
      <w:r w:rsidRPr="002376AB">
        <w:t xml:space="preserve">from external reviews of the school (for example, Ofsted or local school improvement advisers), </w:t>
      </w:r>
      <w:r>
        <w:t>and ensure an appropriate plan is in place to act on any recommendations.</w:t>
      </w:r>
    </w:p>
    <w:p w14:paraId="3CF856A5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monitor, evaluate and support the development of the school strategic development plan</w:t>
      </w:r>
    </w:p>
    <w:p w14:paraId="1E20C92B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receive subject leader / link governor reports</w:t>
      </w:r>
    </w:p>
    <w:p w14:paraId="6AD22633" w14:textId="77777777" w:rsidR="00725B9E" w:rsidRDefault="00725B9E" w:rsidP="00725B9E">
      <w:pPr>
        <w:pStyle w:val="MainText"/>
        <w:numPr>
          <w:ilvl w:val="0"/>
          <w:numId w:val="6"/>
        </w:numPr>
        <w:spacing w:before="80" w:after="120"/>
        <w:ind w:left="426" w:hanging="426"/>
      </w:pPr>
      <w:r>
        <w:t>minute the formal committee meetings in a proper way and promptly publish the non-confidential content</w:t>
      </w:r>
    </w:p>
    <w:p w14:paraId="1B10597B" w14:textId="3BC315D0" w:rsidR="00725B9E" w:rsidRPr="006B387A" w:rsidRDefault="00725B9E" w:rsidP="006B387A">
      <w:pPr>
        <w:pStyle w:val="MainText"/>
        <w:numPr>
          <w:ilvl w:val="0"/>
          <w:numId w:val="6"/>
        </w:numPr>
        <w:spacing w:before="80" w:after="120"/>
        <w:ind w:left="426" w:hanging="426"/>
      </w:pPr>
      <w:r w:rsidRPr="00725B9E">
        <w:t xml:space="preserve">review and </w:t>
      </w:r>
      <w:r w:rsidRPr="00B95AA9">
        <w:t>monitor</w:t>
      </w:r>
      <w:r w:rsidRPr="00725B9E">
        <w:t xml:space="preserve"> any policies delegated by the full governing board</w:t>
      </w:r>
      <w:r w:rsidR="006B387A">
        <w:t xml:space="preserve"> (See next page)</w:t>
      </w:r>
    </w:p>
    <w:p w14:paraId="551138BF" w14:textId="77777777" w:rsidR="006B387A" w:rsidRPr="006B387A" w:rsidRDefault="006B387A" w:rsidP="006B387A">
      <w:pPr>
        <w:spacing w:before="80" w:after="120" w:line="257" w:lineRule="auto"/>
        <w:contextualSpacing/>
        <w:rPr>
          <w:rFonts w:cs="Arial"/>
          <w:i/>
          <w:iCs/>
          <w:color w:val="00000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25B9E" w14:paraId="504C0B49" w14:textId="77777777" w:rsidTr="008147C2">
        <w:tc>
          <w:tcPr>
            <w:tcW w:w="9356" w:type="dxa"/>
          </w:tcPr>
          <w:p w14:paraId="5D458D56" w14:textId="6DAE22BB" w:rsidR="00725B9E" w:rsidRPr="006B387A" w:rsidRDefault="007A6107" w:rsidP="008147C2">
            <w:pPr>
              <w:pStyle w:val="Boldemphasis"/>
              <w:spacing w:after="40"/>
              <w:rPr>
                <w:b/>
              </w:rPr>
            </w:pPr>
            <w:r w:rsidRPr="006B387A">
              <w:rPr>
                <w:b/>
              </w:rPr>
              <w:t>Policies delegated to the T</w:t>
            </w:r>
            <w:r w:rsidR="00725B9E" w:rsidRPr="006B387A">
              <w:rPr>
                <w:b/>
              </w:rPr>
              <w:t xml:space="preserve">eaching </w:t>
            </w:r>
            <w:r w:rsidRPr="006B387A">
              <w:rPr>
                <w:b/>
              </w:rPr>
              <w:t>and Learning C</w:t>
            </w:r>
            <w:r w:rsidR="00725B9E" w:rsidRPr="006B387A">
              <w:rPr>
                <w:b/>
              </w:rPr>
              <w:t>ommittee</w:t>
            </w:r>
          </w:p>
        </w:tc>
      </w:tr>
      <w:tr w:rsidR="00725B9E" w14:paraId="0C71486C" w14:textId="77777777" w:rsidTr="008147C2">
        <w:tc>
          <w:tcPr>
            <w:tcW w:w="9356" w:type="dxa"/>
          </w:tcPr>
          <w:p w14:paraId="1059D0B4" w14:textId="638DB92C" w:rsidR="00725B9E" w:rsidRDefault="00725B9E" w:rsidP="008147C2">
            <w:pPr>
              <w:pStyle w:val="ListParagraph"/>
              <w:ind w:left="0"/>
              <w:rPr>
                <w:rFonts w:eastAsia="Times New Roman" w:cs="Arial"/>
                <w:i/>
                <w:iCs/>
                <w:color w:val="000000"/>
                <w:szCs w:val="20"/>
              </w:rPr>
            </w:pPr>
            <w:r w:rsidRPr="00725B9E">
              <w:rPr>
                <w:rFonts w:eastAsia="Times New Roman" w:cs="Arial"/>
                <w:i/>
                <w:iCs/>
                <w:color w:val="000000"/>
                <w:szCs w:val="20"/>
              </w:rPr>
              <w:t>Statutory policies includ</w:t>
            </w:r>
            <w:r w:rsidR="001C4154">
              <w:rPr>
                <w:rFonts w:eastAsia="Times New Roman" w:cs="Arial"/>
                <w:i/>
                <w:iCs/>
                <w:color w:val="000000"/>
                <w:szCs w:val="20"/>
              </w:rPr>
              <w:t>ing</w:t>
            </w:r>
            <w:r w:rsidR="006B387A">
              <w:rPr>
                <w:rFonts w:eastAsia="Times New Roman" w:cs="Arial"/>
                <w:i/>
                <w:iCs/>
                <w:color w:val="000000"/>
                <w:szCs w:val="20"/>
              </w:rPr>
              <w:t>:</w:t>
            </w:r>
          </w:p>
          <w:p w14:paraId="4B60E70B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Capability of staff</w:t>
            </w:r>
          </w:p>
          <w:p w14:paraId="5F8C5E8C" w14:textId="141E71A9" w:rsidR="006B387A" w:rsidRPr="006B387A" w:rsidRDefault="00C77BA3" w:rsidP="006B387A">
            <w:pPr>
              <w:pStyle w:val="Bullettext"/>
              <w:spacing w:before="80" w:after="80"/>
              <w:rPr>
                <w:i/>
                <w:iCs/>
              </w:rPr>
            </w:pPr>
            <w:r>
              <w:rPr>
                <w:i/>
                <w:iCs/>
              </w:rPr>
              <w:t>Early Career</w:t>
            </w:r>
            <w:r w:rsidR="006B387A" w:rsidRPr="006B387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</w:t>
            </w:r>
            <w:r w:rsidR="006B387A" w:rsidRPr="006B387A">
              <w:rPr>
                <w:i/>
                <w:iCs/>
              </w:rPr>
              <w:t xml:space="preserve">eachers </w:t>
            </w:r>
          </w:p>
          <w:p w14:paraId="2713FAA0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Staff discipline, conduct and grievance (procedures for addressing)</w:t>
            </w:r>
          </w:p>
          <w:p w14:paraId="448296D4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Child protection policy and procedures</w:t>
            </w:r>
          </w:p>
          <w:p w14:paraId="60E12086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Children with health needs who cannot attend school</w:t>
            </w:r>
          </w:p>
          <w:p w14:paraId="02C12878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Early years foundation stage (EYFS)</w:t>
            </w:r>
          </w:p>
          <w:p w14:paraId="473A3DD0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Special educational needs and disability (includes Local Offer)</w:t>
            </w:r>
          </w:p>
          <w:p w14:paraId="20623393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Supporting pupils with medical conditions</w:t>
            </w:r>
          </w:p>
          <w:p w14:paraId="7261652B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Sex and relationships education</w:t>
            </w:r>
          </w:p>
          <w:p w14:paraId="1D730980" w14:textId="77777777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Behaviour in schools</w:t>
            </w:r>
          </w:p>
          <w:p w14:paraId="4F05C938" w14:textId="6140361C" w:rsidR="006B387A" w:rsidRPr="006B387A" w:rsidRDefault="006B387A" w:rsidP="006B387A">
            <w:pPr>
              <w:pStyle w:val="Bullettext"/>
              <w:spacing w:before="80" w:after="80"/>
              <w:rPr>
                <w:i/>
                <w:iCs/>
              </w:rPr>
            </w:pPr>
            <w:r w:rsidRPr="006B387A">
              <w:rPr>
                <w:i/>
                <w:iCs/>
              </w:rPr>
              <w:t>Behaviour principles written statement</w:t>
            </w:r>
          </w:p>
          <w:p w14:paraId="60A8536B" w14:textId="04E8FEDF" w:rsidR="00725B9E" w:rsidRPr="00BF0F71" w:rsidRDefault="00725B9E" w:rsidP="00725B9E">
            <w:pPr>
              <w:pStyle w:val="Bullettext"/>
              <w:spacing w:before="80" w:after="80"/>
              <w:rPr>
                <w:i/>
                <w:iCs/>
              </w:rPr>
            </w:pPr>
            <w:r w:rsidRPr="00BF0F71">
              <w:rPr>
                <w:i/>
                <w:iCs/>
              </w:rPr>
              <w:t>Relationships Education and RSE</w:t>
            </w:r>
          </w:p>
          <w:p w14:paraId="6D728F32" w14:textId="783D3687" w:rsidR="00BD5540" w:rsidRPr="006B387A" w:rsidRDefault="007A6107" w:rsidP="00BD5540">
            <w:pPr>
              <w:pStyle w:val="Bullettext"/>
              <w:rPr>
                <w:i/>
                <w:iCs/>
              </w:rPr>
            </w:pPr>
            <w:r w:rsidRPr="007A6107">
              <w:rPr>
                <w:i/>
                <w:iCs/>
              </w:rPr>
              <w:t>Cared for Children Policy</w:t>
            </w:r>
          </w:p>
          <w:p w14:paraId="355F45D7" w14:textId="5AB94289" w:rsidR="001C4154" w:rsidRDefault="003D022B" w:rsidP="001C4154">
            <w:pPr>
              <w:rPr>
                <w:lang w:val="en-GB"/>
              </w:rPr>
            </w:pPr>
            <w:hyperlink r:id="rId10" w:history="1">
              <w:r w:rsidR="00C77BA3" w:rsidRPr="00C77BA3">
                <w:rPr>
                  <w:rStyle w:val="Hyperlink"/>
                </w:rPr>
                <w:t xml:space="preserve">Maintained </w:t>
              </w:r>
              <w:proofErr w:type="gramStart"/>
              <w:r w:rsidR="00C77BA3" w:rsidRPr="00C77BA3">
                <w:rPr>
                  <w:rStyle w:val="Hyperlink"/>
                </w:rPr>
                <w:t>schools</w:t>
              </w:r>
              <w:proofErr w:type="gramEnd"/>
              <w:r w:rsidR="00C77BA3" w:rsidRPr="00C77BA3">
                <w:rPr>
                  <w:rStyle w:val="Hyperlink"/>
                </w:rPr>
                <w:t xml:space="preserve"> governance guide - Statutory policies for maintained schools - Guidance - GOV.UK</w:t>
              </w:r>
            </w:hyperlink>
            <w:r w:rsidR="00C77BA3">
              <w:rPr>
                <w:lang w:val="en-GB"/>
              </w:rPr>
              <w:t xml:space="preserve"> </w:t>
            </w:r>
          </w:p>
          <w:p w14:paraId="42B05F67" w14:textId="1C5DF5AF" w:rsidR="007A6107" w:rsidRDefault="007A6107" w:rsidP="001C4154">
            <w:pPr>
              <w:rPr>
                <w:lang w:val="en-GB"/>
              </w:rPr>
            </w:pPr>
          </w:p>
          <w:p w14:paraId="41D9BC68" w14:textId="6E878FD3" w:rsidR="006B387A" w:rsidRDefault="00593806" w:rsidP="006B387A">
            <w:pPr>
              <w:rPr>
                <w:i/>
                <w:iCs/>
                <w:lang w:val="en-GB"/>
              </w:rPr>
            </w:pPr>
            <w:r w:rsidRPr="0010504E">
              <w:rPr>
                <w:i/>
                <w:iCs/>
                <w:lang w:val="en-GB"/>
              </w:rPr>
              <w:t>Non stat</w:t>
            </w:r>
            <w:r w:rsidR="0010504E" w:rsidRPr="0010504E">
              <w:rPr>
                <w:i/>
                <w:iCs/>
                <w:lang w:val="en-GB"/>
              </w:rPr>
              <w:t>utory policies including:</w:t>
            </w:r>
          </w:p>
          <w:p w14:paraId="234E3E42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Assessment Policy</w:t>
            </w:r>
          </w:p>
          <w:p w14:paraId="0BB73848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Attendance Policy</w:t>
            </w:r>
          </w:p>
          <w:p w14:paraId="0EF6CE84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British Values Statement</w:t>
            </w:r>
          </w:p>
          <w:p w14:paraId="2D5D65D0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 xml:space="preserve">Educational Visits </w:t>
            </w:r>
          </w:p>
          <w:p w14:paraId="73179774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EYFS Policy (statutory DfE referred to in Safeguarding Suite)</w:t>
            </w:r>
          </w:p>
          <w:p w14:paraId="6B1A3480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Feedback and Marking Policy</w:t>
            </w:r>
          </w:p>
          <w:p w14:paraId="675CF9F9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Homework Policy</w:t>
            </w:r>
          </w:p>
          <w:p w14:paraId="74EEBFD0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Phonics Policy</w:t>
            </w:r>
          </w:p>
          <w:p w14:paraId="06418028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Remote Learning Policy</w:t>
            </w:r>
          </w:p>
          <w:p w14:paraId="19DE4019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Teaching and Learning Policy</w:t>
            </w:r>
          </w:p>
          <w:p w14:paraId="7E4DB015" w14:textId="77777777" w:rsidR="006B387A" w:rsidRPr="006B387A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Monitoring and Evaluation Policy</w:t>
            </w:r>
          </w:p>
          <w:p w14:paraId="42F0015E" w14:textId="05690DE5" w:rsidR="006B387A" w:rsidRPr="007D7E48" w:rsidRDefault="006B387A" w:rsidP="006B387A">
            <w:pPr>
              <w:numPr>
                <w:ilvl w:val="0"/>
                <w:numId w:val="8"/>
              </w:numPr>
              <w:rPr>
                <w:i/>
                <w:iCs/>
                <w:lang w:val="en-GB"/>
              </w:rPr>
            </w:pPr>
            <w:r w:rsidRPr="006B387A">
              <w:rPr>
                <w:i/>
                <w:iCs/>
                <w:lang w:val="en-GB"/>
              </w:rPr>
              <w:t>Subject Leader Guidelines</w:t>
            </w:r>
          </w:p>
        </w:tc>
      </w:tr>
    </w:tbl>
    <w:p w14:paraId="5B6A9B86" w14:textId="77777777" w:rsidR="00125475" w:rsidRDefault="00125475">
      <w:pPr>
        <w:rPr>
          <w:b/>
          <w:lang w:val="cy-GB"/>
        </w:rPr>
      </w:pPr>
    </w:p>
    <w:sectPr w:rsidR="00125475">
      <w:footerReference w:type="even" r:id="rId11"/>
      <w:footerReference w:type="defaul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21E7" w14:textId="77777777" w:rsidR="003D022B" w:rsidRDefault="003D022B" w:rsidP="00AC0AF9">
      <w:r>
        <w:separator/>
      </w:r>
    </w:p>
  </w:endnote>
  <w:endnote w:type="continuationSeparator" w:id="0">
    <w:p w14:paraId="524EEB1F" w14:textId="77777777" w:rsidR="003D022B" w:rsidRDefault="003D022B" w:rsidP="00AC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FEDA" w14:textId="47C6FF91" w:rsidR="001C3F3A" w:rsidRDefault="001C3F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4738B7" wp14:editId="5120EC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1746C" w14:textId="365C335E" w:rsidR="001C3F3A" w:rsidRPr="001C3F3A" w:rsidRDefault="001C3F3A" w:rsidP="001C3F3A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1C3F3A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8473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981746C" w14:textId="365C335E" w:rsidR="001C3F3A" w:rsidRPr="001C3F3A" w:rsidRDefault="001C3F3A" w:rsidP="001C3F3A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1C3F3A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35D5" w14:textId="5B218C64" w:rsidR="00AC0AF9" w:rsidRDefault="001C3F3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13B6F7" wp14:editId="03346FDF">
              <wp:simplePos x="1143000" y="9258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65B6A" w14:textId="292DE86C" w:rsidR="001C3F3A" w:rsidRPr="001C3F3A" w:rsidRDefault="001C3F3A" w:rsidP="001C3F3A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1C3F3A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113B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F465B6A" w14:textId="292DE86C" w:rsidR="001C3F3A" w:rsidRPr="001C3F3A" w:rsidRDefault="001C3F3A" w:rsidP="001C3F3A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1C3F3A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0AF9">
      <w:fldChar w:fldCharType="begin"/>
    </w:r>
    <w:r w:rsidR="00AC0AF9">
      <w:instrText xml:space="preserve"> PAGE   \* MERGEFORMAT </w:instrText>
    </w:r>
    <w:r w:rsidR="00AC0AF9">
      <w:fldChar w:fldCharType="separate"/>
    </w:r>
    <w:r w:rsidR="006B387A">
      <w:rPr>
        <w:noProof/>
      </w:rPr>
      <w:t>1</w:t>
    </w:r>
    <w:r w:rsidR="00AC0AF9">
      <w:rPr>
        <w:noProof/>
      </w:rPr>
      <w:fldChar w:fldCharType="end"/>
    </w:r>
  </w:p>
  <w:p w14:paraId="2EE71834" w14:textId="77777777" w:rsidR="00AC0AF9" w:rsidRDefault="00AC0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E614" w14:textId="4A08CDE7" w:rsidR="001C3F3A" w:rsidRDefault="001C3F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D00656" wp14:editId="4C6952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4B9CA" w14:textId="4028355A" w:rsidR="001C3F3A" w:rsidRPr="001C3F3A" w:rsidRDefault="001C3F3A" w:rsidP="001C3F3A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1C3F3A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ED006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14B9CA" w14:textId="4028355A" w:rsidR="001C3F3A" w:rsidRPr="001C3F3A" w:rsidRDefault="001C3F3A" w:rsidP="001C3F3A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1C3F3A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50B5" w14:textId="77777777" w:rsidR="003D022B" w:rsidRDefault="003D022B" w:rsidP="00AC0AF9">
      <w:r>
        <w:separator/>
      </w:r>
    </w:p>
  </w:footnote>
  <w:footnote w:type="continuationSeparator" w:id="0">
    <w:p w14:paraId="7D64E456" w14:textId="77777777" w:rsidR="003D022B" w:rsidRDefault="003D022B" w:rsidP="00AC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1A"/>
    <w:multiLevelType w:val="hybridMultilevel"/>
    <w:tmpl w:val="75EC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710BD"/>
    <w:multiLevelType w:val="hybridMultilevel"/>
    <w:tmpl w:val="6BA07954"/>
    <w:lvl w:ilvl="0" w:tplc="09D6D6D6">
      <w:start w:val="1"/>
      <w:numFmt w:val="bullet"/>
      <w:lvlText w:val=""/>
      <w:lvlJc w:val="left"/>
      <w:pPr>
        <w:ind w:left="284" w:hanging="284"/>
      </w:pPr>
      <w:rPr>
        <w:rFonts w:ascii="Wingdings" w:hAnsi="Wingdings" w:hint="default"/>
        <w:b w:val="0"/>
        <w:i w:val="0"/>
        <w:color w:val="00B050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6D96"/>
    <w:multiLevelType w:val="hybridMultilevel"/>
    <w:tmpl w:val="DFF67E0C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45B1"/>
    <w:multiLevelType w:val="hybridMultilevel"/>
    <w:tmpl w:val="DB6C39D6"/>
    <w:lvl w:ilvl="0" w:tplc="27F89BF6">
      <w:start w:val="1"/>
      <w:numFmt w:val="decimal"/>
      <w:lvlText w:val="%1."/>
      <w:lvlJc w:val="left"/>
      <w:pPr>
        <w:ind w:left="360" w:hanging="360"/>
      </w:pPr>
      <w:rPr>
        <w:color w:val="054078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EF22A3"/>
    <w:multiLevelType w:val="hybridMultilevel"/>
    <w:tmpl w:val="E3083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923AA"/>
    <w:multiLevelType w:val="hybridMultilevel"/>
    <w:tmpl w:val="29B8D9D4"/>
    <w:lvl w:ilvl="0" w:tplc="AD566A8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0563C1"/>
        <w:sz w:val="24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E31E6"/>
    <w:multiLevelType w:val="hybridMultilevel"/>
    <w:tmpl w:val="A4A83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B8"/>
    <w:rsid w:val="00023C1F"/>
    <w:rsid w:val="000849DF"/>
    <w:rsid w:val="000A47E3"/>
    <w:rsid w:val="000E5CFB"/>
    <w:rsid w:val="000E7FC4"/>
    <w:rsid w:val="0010504E"/>
    <w:rsid w:val="00125475"/>
    <w:rsid w:val="00126BA4"/>
    <w:rsid w:val="001344FA"/>
    <w:rsid w:val="00196569"/>
    <w:rsid w:val="001A329A"/>
    <w:rsid w:val="001B2DC6"/>
    <w:rsid w:val="001C3F3A"/>
    <w:rsid w:val="001C4154"/>
    <w:rsid w:val="001F701D"/>
    <w:rsid w:val="00224EF2"/>
    <w:rsid w:val="002767D6"/>
    <w:rsid w:val="00286BD6"/>
    <w:rsid w:val="002A241B"/>
    <w:rsid w:val="002B381D"/>
    <w:rsid w:val="002C0E88"/>
    <w:rsid w:val="002D453F"/>
    <w:rsid w:val="002F0DAA"/>
    <w:rsid w:val="0036155D"/>
    <w:rsid w:val="003D022B"/>
    <w:rsid w:val="003E118F"/>
    <w:rsid w:val="003E4814"/>
    <w:rsid w:val="003F7DEB"/>
    <w:rsid w:val="00472CB8"/>
    <w:rsid w:val="00492B88"/>
    <w:rsid w:val="004C5A36"/>
    <w:rsid w:val="0052662A"/>
    <w:rsid w:val="00540BAA"/>
    <w:rsid w:val="00593806"/>
    <w:rsid w:val="005B2955"/>
    <w:rsid w:val="005E34E8"/>
    <w:rsid w:val="005F4C0B"/>
    <w:rsid w:val="005F6A50"/>
    <w:rsid w:val="0063148C"/>
    <w:rsid w:val="00635F41"/>
    <w:rsid w:val="00636341"/>
    <w:rsid w:val="00652B2C"/>
    <w:rsid w:val="006B387A"/>
    <w:rsid w:val="006B59B9"/>
    <w:rsid w:val="00701E4A"/>
    <w:rsid w:val="00725B9E"/>
    <w:rsid w:val="007924F7"/>
    <w:rsid w:val="007A6107"/>
    <w:rsid w:val="007B73CE"/>
    <w:rsid w:val="007C6045"/>
    <w:rsid w:val="007D7E48"/>
    <w:rsid w:val="00884D32"/>
    <w:rsid w:val="008D7448"/>
    <w:rsid w:val="00911A25"/>
    <w:rsid w:val="00974985"/>
    <w:rsid w:val="009D7F7D"/>
    <w:rsid w:val="00AC0AF9"/>
    <w:rsid w:val="00AF3BA5"/>
    <w:rsid w:val="00B80D9A"/>
    <w:rsid w:val="00BD5540"/>
    <w:rsid w:val="00BD640F"/>
    <w:rsid w:val="00C139F9"/>
    <w:rsid w:val="00C77BA3"/>
    <w:rsid w:val="00CF45A8"/>
    <w:rsid w:val="00D21970"/>
    <w:rsid w:val="00D236E0"/>
    <w:rsid w:val="00D90933"/>
    <w:rsid w:val="00D9327B"/>
    <w:rsid w:val="00DF1EDE"/>
    <w:rsid w:val="00E125E6"/>
    <w:rsid w:val="00E25420"/>
    <w:rsid w:val="00EA5ED0"/>
    <w:rsid w:val="00EB1886"/>
    <w:rsid w:val="00F60987"/>
    <w:rsid w:val="00F60F22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83DB2D9"/>
  <w15:chartTrackingRefBased/>
  <w15:docId w15:val="{AD4003B3-B36B-470E-9A46-315FB54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cy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B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B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Indent">
    <w:name w:val="Body Text Indent"/>
    <w:basedOn w:val="Normal"/>
    <w:semiHidden/>
    <w:pPr>
      <w:ind w:left="360"/>
    </w:pPr>
    <w:rPr>
      <w:b/>
      <w:sz w:val="20"/>
      <w:lang w:val="cy-GB"/>
    </w:rPr>
  </w:style>
  <w:style w:type="paragraph" w:styleId="Header">
    <w:name w:val="header"/>
    <w:basedOn w:val="Normal"/>
    <w:link w:val="HeaderChar"/>
    <w:uiPriority w:val="99"/>
    <w:unhideWhenUsed/>
    <w:rsid w:val="00AC0A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0A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C0A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0AF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0AF9"/>
    <w:rPr>
      <w:rFonts w:ascii="Segoe UI" w:hAnsi="Segoe UI" w:cs="Segoe UI"/>
      <w:sz w:val="18"/>
      <w:szCs w:val="18"/>
      <w:lang w:val="en-US" w:eastAsia="en-US"/>
    </w:rPr>
  </w:style>
  <w:style w:type="paragraph" w:customStyle="1" w:styleId="MainText">
    <w:name w:val="Main Text"/>
    <w:basedOn w:val="Normal"/>
    <w:link w:val="MainTextChar"/>
    <w:qFormat/>
    <w:rsid w:val="002A241B"/>
    <w:pPr>
      <w:spacing w:after="240"/>
    </w:pPr>
    <w:rPr>
      <w:rFonts w:ascii="Calibri" w:hAnsi="Calibri" w:cs="Arial"/>
      <w:color w:val="000000"/>
      <w:szCs w:val="20"/>
      <w:lang w:val="en-GB"/>
    </w:rPr>
  </w:style>
  <w:style w:type="character" w:customStyle="1" w:styleId="MainTextChar">
    <w:name w:val="Main Text Char"/>
    <w:link w:val="MainText"/>
    <w:rsid w:val="002A241B"/>
    <w:rPr>
      <w:rFonts w:ascii="Calibri" w:hAnsi="Calibri" w:cs="Arial"/>
      <w:color w:val="000000"/>
      <w:sz w:val="24"/>
      <w:lang w:eastAsia="en-US"/>
    </w:rPr>
  </w:style>
  <w:style w:type="paragraph" w:customStyle="1" w:styleId="Boldemphasis">
    <w:name w:val="Bold emphasis"/>
    <w:basedOn w:val="MainText"/>
    <w:link w:val="BoldemphasisChar"/>
    <w:qFormat/>
    <w:rsid w:val="002A241B"/>
  </w:style>
  <w:style w:type="character" w:customStyle="1" w:styleId="BoldemphasisChar">
    <w:name w:val="Bold emphasis Char"/>
    <w:link w:val="Boldemphasis"/>
    <w:rsid w:val="002A241B"/>
    <w:rPr>
      <w:rFonts w:ascii="Calibri" w:hAnsi="Calibri" w:cs="Arial"/>
      <w:color w:val="000000"/>
      <w:sz w:val="24"/>
      <w:lang w:eastAsia="en-US"/>
    </w:rPr>
  </w:style>
  <w:style w:type="table" w:styleId="TableGrid">
    <w:name w:val="Table Grid"/>
    <w:basedOn w:val="TableNormal"/>
    <w:uiPriority w:val="39"/>
    <w:rsid w:val="002A2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5B9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B9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unhideWhenUsed/>
    <w:rsid w:val="00725B9E"/>
    <w:rPr>
      <w:color w:val="0563C1"/>
      <w:u w:val="single"/>
    </w:rPr>
  </w:style>
  <w:style w:type="paragraph" w:customStyle="1" w:styleId="Bullettext">
    <w:name w:val="Bullet text"/>
    <w:basedOn w:val="Normal"/>
    <w:next w:val="Normal"/>
    <w:qFormat/>
    <w:rsid w:val="00725B9E"/>
    <w:pPr>
      <w:numPr>
        <w:numId w:val="4"/>
      </w:numPr>
      <w:spacing w:before="160" w:after="160"/>
    </w:pPr>
    <w:rPr>
      <w:rFonts w:ascii="Calibri" w:hAnsi="Calibri" w:cs="Arial"/>
      <w:color w:val="00000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25B9E"/>
    <w:pPr>
      <w:spacing w:after="8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B9E"/>
    <w:rPr>
      <w:rFonts w:ascii="Calibri" w:eastAsia="Calibri" w:hAnsi="Calibri"/>
      <w:lang w:eastAsia="en-US"/>
    </w:rPr>
  </w:style>
  <w:style w:type="character" w:styleId="CommentReference">
    <w:name w:val="annotation reference"/>
    <w:uiPriority w:val="99"/>
    <w:semiHidden/>
    <w:unhideWhenUsed/>
    <w:rsid w:val="00725B9E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77B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national-curriculu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governance-in-maintained-schools/statutory-policies-for-maintained-schoo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what-maintained-schools-must-publish-onli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1005231A-7D3A-4C08-92FB-BACEB4B17F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FOR THE</vt:lpstr>
    </vt:vector>
  </TitlesOfParts>
  <Company>Brett family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THE</dc:title>
  <dc:subject/>
  <dc:creator>Jane Brett</dc:creator>
  <cp:keywords/>
  <cp:lastModifiedBy>Rainow Primary Head</cp:lastModifiedBy>
  <cp:revision>2</cp:revision>
  <cp:lastPrinted>2016-11-28T17:07:00Z</cp:lastPrinted>
  <dcterms:created xsi:type="dcterms:W3CDTF">2024-11-20T14:26:00Z</dcterms:created>
  <dcterms:modified xsi:type="dcterms:W3CDTF">2024-11-20T14:26:00Z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f3861968-0b18-4746-a8be-027b0a226c8c</vt:lpwstr>
  </property>
  <property fmtid="{D5CDD505-2E9C-101B-9397-08002B2CF9AE}" pid="3" name="bjSaver">
    <vt:lpwstr>uyOGw8vuc8f5rFugEAqOluAeKiPy9C6u</vt:lpwstr>
  </property>
  <property fmtid="{D5CDD505-2E9C-101B-9397-08002B2CF9AE}" pid="4" name="bjDocumentSecurityLabel">
    <vt:lpwstr>This item has no classification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#003ec8,12,Arial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ef975da0-2206-4296-8b08-8eab8a965a3b_Enabled">
    <vt:lpwstr>true</vt:lpwstr>
  </property>
  <property fmtid="{D5CDD505-2E9C-101B-9397-08002B2CF9AE}" pid="9" name="MSIP_Label_ef975da0-2206-4296-8b08-8eab8a965a3b_SetDate">
    <vt:lpwstr>2024-01-23T15:44:24Z</vt:lpwstr>
  </property>
  <property fmtid="{D5CDD505-2E9C-101B-9397-08002B2CF9AE}" pid="10" name="MSIP_Label_ef975da0-2206-4296-8b08-8eab8a965a3b_Method">
    <vt:lpwstr>Privileged</vt:lpwstr>
  </property>
  <property fmtid="{D5CDD505-2E9C-101B-9397-08002B2CF9AE}" pid="11" name="MSIP_Label_ef975da0-2206-4296-8b08-8eab8a965a3b_Name">
    <vt:lpwstr>CE-OFFICIAL</vt:lpwstr>
  </property>
  <property fmtid="{D5CDD505-2E9C-101B-9397-08002B2CF9AE}" pid="12" name="MSIP_Label_ef975da0-2206-4296-8b08-8eab8a965a3b_SiteId">
    <vt:lpwstr>cdb92d10-23cb-4ac1-a9b3-34f4faaa2851</vt:lpwstr>
  </property>
  <property fmtid="{D5CDD505-2E9C-101B-9397-08002B2CF9AE}" pid="13" name="MSIP_Label_ef975da0-2206-4296-8b08-8eab8a965a3b_ActionId">
    <vt:lpwstr>b3cbeefb-8607-4809-8c4e-a6a3cff1322a</vt:lpwstr>
  </property>
  <property fmtid="{D5CDD505-2E9C-101B-9397-08002B2CF9AE}" pid="14" name="MSIP_Label_ef975da0-2206-4296-8b08-8eab8a965a3b_ContentBits">
    <vt:lpwstr>2</vt:lpwstr>
  </property>
</Properties>
</file>